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</w:t>
      </w:r>
      <w:r w:rsidR="004D702F" w:rsidRPr="00805322">
        <w:rPr>
          <w:bCs/>
          <w:sz w:val="22"/>
          <w:szCs w:val="22"/>
        </w:rPr>
        <w:t xml:space="preserve"> </w:t>
      </w:r>
      <w:r w:rsidR="004D702F">
        <w:rPr>
          <w:bCs/>
          <w:sz w:val="22"/>
          <w:szCs w:val="22"/>
        </w:rPr>
        <w:t xml:space="preserve">in somministrazione annuale di </w:t>
      </w:r>
      <w:r w:rsidR="00293694">
        <w:rPr>
          <w:bCs/>
          <w:sz w:val="22"/>
          <w:szCs w:val="22"/>
        </w:rPr>
        <w:t>sistema Hot Axios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93694"/>
    <w:rsid w:val="002D737B"/>
    <w:rsid w:val="002E07C8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9DAD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265FE-7649-46D1-B990-6FED778C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Rosanna Cantarella</cp:lastModifiedBy>
  <cp:revision>28</cp:revision>
  <dcterms:created xsi:type="dcterms:W3CDTF">2023-09-21T10:47:00Z</dcterms:created>
  <dcterms:modified xsi:type="dcterms:W3CDTF">2024-03-14T10:18:00Z</dcterms:modified>
</cp:coreProperties>
</file>